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AD" w:rsidRDefault="00C3610F" w:rsidP="009872AD">
      <w:pPr>
        <w:pStyle w:val="1"/>
        <w:spacing w:line="460" w:lineRule="exact"/>
        <w:jc w:val="center"/>
        <w:rPr>
          <w:rFonts w:eastAsia="黑体"/>
          <w:b w:val="0"/>
          <w:sz w:val="32"/>
          <w:szCs w:val="32"/>
        </w:rPr>
      </w:pPr>
      <w:r>
        <w:rPr>
          <w:rFonts w:ascii="宋体" w:hAnsi="宋体" w:cs="宋体"/>
          <w:sz w:val="28"/>
          <w:szCs w:val="28"/>
        </w:rPr>
        <w:t>滁州职业技术学院第三届技能</w:t>
      </w:r>
      <w:r>
        <w:rPr>
          <w:rFonts w:ascii="宋体" w:hAnsi="宋体" w:cs="宋体" w:hint="eastAsia"/>
          <w:sz w:val="28"/>
          <w:szCs w:val="28"/>
        </w:rPr>
        <w:t>竞</w:t>
      </w:r>
      <w:r w:rsidR="009872AD">
        <w:rPr>
          <w:rFonts w:ascii="宋体" w:hAnsi="宋体" w:cs="宋体"/>
          <w:sz w:val="28"/>
          <w:szCs w:val="28"/>
        </w:rPr>
        <w:t>赛</w:t>
      </w:r>
      <w:r w:rsidR="009872AD">
        <w:rPr>
          <w:rFonts w:eastAsia="黑体"/>
          <w:b w:val="0"/>
          <w:sz w:val="32"/>
          <w:szCs w:val="32"/>
        </w:rPr>
        <w:br/>
        <w:t>“</w:t>
      </w:r>
      <w:r w:rsidR="009872AD">
        <w:rPr>
          <w:rFonts w:eastAsia="黑体" w:hint="eastAsia"/>
          <w:b w:val="0"/>
          <w:sz w:val="32"/>
          <w:szCs w:val="32"/>
        </w:rPr>
        <w:t>电子商务</w:t>
      </w:r>
      <w:r w:rsidR="009872AD">
        <w:rPr>
          <w:rFonts w:eastAsia="黑体"/>
          <w:b w:val="0"/>
          <w:sz w:val="32"/>
          <w:szCs w:val="32"/>
        </w:rPr>
        <w:t>技能大赛</w:t>
      </w:r>
      <w:r w:rsidR="009872AD">
        <w:rPr>
          <w:rFonts w:eastAsia="黑体"/>
          <w:b w:val="0"/>
          <w:sz w:val="32"/>
          <w:szCs w:val="32"/>
        </w:rPr>
        <w:t>”</w:t>
      </w:r>
      <w:r w:rsidR="009872AD">
        <w:rPr>
          <w:rFonts w:eastAsia="黑体"/>
          <w:b w:val="0"/>
          <w:sz w:val="32"/>
          <w:szCs w:val="32"/>
        </w:rPr>
        <w:t>方案</w:t>
      </w:r>
    </w:p>
    <w:p w:rsidR="003456DE" w:rsidRDefault="00C20B43">
      <w:pPr>
        <w:widowControl/>
        <w:shd w:val="clear" w:color="auto" w:fill="FFFFFF"/>
        <w:snapToGrid w:val="0"/>
        <w:spacing w:line="300" w:lineRule="auto"/>
        <w:jc w:val="left"/>
        <w:rPr>
          <w:rFonts w:ascii="仿宋_GB2312" w:eastAsia="仿宋_GB2312"/>
          <w:sz w:val="24"/>
        </w:rPr>
      </w:pPr>
      <w:r>
        <w:rPr>
          <w:rFonts w:eastAsia="方正仿宋_GBK" w:hint="eastAsia"/>
          <w:kern w:val="0"/>
          <w:sz w:val="24"/>
        </w:rPr>
        <w:t xml:space="preserve">  </w:t>
      </w:r>
      <w:r>
        <w:rPr>
          <w:rFonts w:ascii="宋体" w:hAnsi="宋体" w:hint="eastAsia"/>
          <w:kern w:val="0"/>
          <w:sz w:val="24"/>
        </w:rPr>
        <w:t xml:space="preserve"> </w:t>
      </w:r>
      <w:r>
        <w:rPr>
          <w:rFonts w:ascii="仿宋_GB2312" w:eastAsia="仿宋_GB2312" w:hint="eastAsia"/>
          <w:sz w:val="24"/>
        </w:rPr>
        <w:t>2017</w:t>
      </w:r>
      <w:r w:rsidR="00C3610F">
        <w:rPr>
          <w:rFonts w:ascii="仿宋_GB2312" w:eastAsia="仿宋_GB2312" w:hint="eastAsia"/>
          <w:sz w:val="24"/>
        </w:rPr>
        <w:t>年</w:t>
      </w:r>
      <w:r w:rsidR="009872AD">
        <w:rPr>
          <w:rFonts w:ascii="仿宋_GB2312" w:eastAsia="仿宋_GB2312" w:hint="eastAsia"/>
          <w:sz w:val="24"/>
        </w:rPr>
        <w:t>经贸系电子商务教研室</w:t>
      </w:r>
      <w:r>
        <w:rPr>
          <w:rFonts w:ascii="仿宋_GB2312" w:eastAsia="仿宋_GB2312" w:hint="eastAsia"/>
          <w:sz w:val="24"/>
        </w:rPr>
        <w:t>承办“电子商务技能”的省级技能大赛。为了组织好本次比赛，为参赛院校提供公平、公正、友好、和谐的竞赛环境，达到以赛促学、以赛促改、相互促进、共同提高的比赛目的，特制订本方案。</w:t>
      </w:r>
    </w:p>
    <w:p w:rsidR="003456DE" w:rsidRDefault="00C3610F">
      <w:pPr>
        <w:widowControl/>
        <w:shd w:val="clear" w:color="auto" w:fill="FFFFFF"/>
        <w:snapToGrid w:val="0"/>
        <w:spacing w:line="300" w:lineRule="auto"/>
        <w:ind w:firstLineChars="200" w:firstLine="480"/>
        <w:jc w:val="left"/>
        <w:rPr>
          <w:rFonts w:ascii="仿宋_GB2312" w:eastAsia="仿宋_GB2312"/>
          <w:b/>
          <w:sz w:val="24"/>
        </w:rPr>
      </w:pPr>
      <w:r>
        <w:rPr>
          <w:rFonts w:ascii="仿宋_GB2312" w:eastAsia="仿宋_GB2312" w:hint="eastAsia"/>
          <w:b/>
          <w:sz w:val="24"/>
        </w:rPr>
        <w:t>一、比</w:t>
      </w:r>
      <w:r w:rsidR="00C20B43">
        <w:rPr>
          <w:rFonts w:ascii="仿宋_GB2312" w:eastAsia="仿宋_GB2312" w:hint="eastAsia"/>
          <w:b/>
          <w:sz w:val="24"/>
        </w:rPr>
        <w:t>赛名称与承办项目</w:t>
      </w:r>
    </w:p>
    <w:p w:rsidR="003456DE" w:rsidRDefault="00C3610F">
      <w:pPr>
        <w:widowControl/>
        <w:shd w:val="clear" w:color="auto" w:fill="FFFFFF"/>
        <w:snapToGrid w:val="0"/>
        <w:spacing w:line="300" w:lineRule="auto"/>
        <w:ind w:firstLineChars="200" w:firstLine="480"/>
        <w:jc w:val="left"/>
        <w:rPr>
          <w:rFonts w:ascii="仿宋_GB2312" w:eastAsia="仿宋_GB2312"/>
          <w:sz w:val="24"/>
        </w:rPr>
      </w:pPr>
      <w:r w:rsidRPr="00C3610F">
        <w:rPr>
          <w:rFonts w:ascii="仿宋_GB2312" w:eastAsia="仿宋_GB2312"/>
          <w:sz w:val="24"/>
        </w:rPr>
        <w:t>滁州职业技术学院第三届技能大赛</w:t>
      </w:r>
      <w:r w:rsidRPr="00C3610F">
        <w:rPr>
          <w:rFonts w:ascii="仿宋_GB2312" w:eastAsia="仿宋_GB2312" w:hint="eastAsia"/>
          <w:sz w:val="24"/>
        </w:rPr>
        <w:t>电子商务技能</w:t>
      </w:r>
      <w:r>
        <w:rPr>
          <w:rFonts w:ascii="仿宋_GB2312" w:eastAsia="仿宋_GB2312" w:hint="eastAsia"/>
          <w:sz w:val="24"/>
        </w:rPr>
        <w:t>竞赛</w:t>
      </w:r>
    </w:p>
    <w:p w:rsidR="003456DE" w:rsidRDefault="00C20B43">
      <w:pPr>
        <w:widowControl/>
        <w:shd w:val="clear" w:color="auto" w:fill="FFFFFF"/>
        <w:snapToGrid w:val="0"/>
        <w:spacing w:line="300" w:lineRule="auto"/>
        <w:jc w:val="left"/>
        <w:rPr>
          <w:rFonts w:ascii="仿宋_GB2312" w:eastAsia="仿宋_GB2312"/>
          <w:b/>
          <w:sz w:val="24"/>
        </w:rPr>
      </w:pPr>
      <w:r>
        <w:rPr>
          <w:rFonts w:ascii="仿宋_GB2312" w:eastAsia="仿宋_GB2312" w:hint="eastAsia"/>
          <w:b/>
          <w:sz w:val="24"/>
        </w:rPr>
        <w:t xml:space="preserve">    二、比赛方式与内容</w:t>
      </w:r>
    </w:p>
    <w:p w:rsidR="003456DE" w:rsidRDefault="00C20B43">
      <w:pPr>
        <w:widowControl/>
        <w:shd w:val="clear" w:color="auto" w:fill="FFFFFF"/>
        <w:snapToGrid w:val="0"/>
        <w:spacing w:line="300" w:lineRule="auto"/>
        <w:ind w:firstLineChars="200" w:firstLine="480"/>
        <w:jc w:val="left"/>
        <w:rPr>
          <w:rFonts w:ascii="仿宋_GB2312" w:eastAsia="仿宋_GB2312"/>
          <w:sz w:val="24"/>
        </w:rPr>
      </w:pPr>
      <w:r>
        <w:rPr>
          <w:rFonts w:ascii="仿宋_GB2312" w:eastAsia="仿宋_GB2312" w:hint="eastAsia"/>
          <w:sz w:val="24"/>
        </w:rPr>
        <w:t>（一）比赛方式</w:t>
      </w:r>
    </w:p>
    <w:p w:rsidR="003456DE" w:rsidRDefault="00C20B43" w:rsidP="009872AD">
      <w:pPr>
        <w:widowControl/>
        <w:shd w:val="clear" w:color="auto" w:fill="FFFFFF"/>
        <w:snapToGrid w:val="0"/>
        <w:spacing w:line="300" w:lineRule="auto"/>
        <w:ind w:firstLineChars="200" w:firstLine="480"/>
        <w:jc w:val="left"/>
        <w:rPr>
          <w:rFonts w:ascii="仿宋_GB2312" w:eastAsia="仿宋_GB2312" w:hAnsi="仿宋" w:cs="宋体"/>
          <w:sz w:val="24"/>
        </w:rPr>
      </w:pPr>
      <w:r>
        <w:rPr>
          <w:rFonts w:ascii="仿宋_GB2312" w:eastAsia="仿宋_GB2312" w:hint="eastAsia"/>
          <w:sz w:val="24"/>
        </w:rPr>
        <w:t>比赛采用团体赛的方式。</w:t>
      </w:r>
      <w:r w:rsidR="009872AD">
        <w:rPr>
          <w:rFonts w:ascii="仿宋_GB2312" w:eastAsia="仿宋_GB2312" w:hint="eastAsia"/>
          <w:sz w:val="24"/>
        </w:rPr>
        <w:t>分装修和运营两个模块，每队2人。</w:t>
      </w:r>
    </w:p>
    <w:p w:rsidR="003456DE" w:rsidRDefault="00C20B43">
      <w:pPr>
        <w:widowControl/>
        <w:shd w:val="clear" w:color="auto" w:fill="FFFFFF"/>
        <w:snapToGrid w:val="0"/>
        <w:spacing w:line="300" w:lineRule="auto"/>
        <w:ind w:firstLineChars="200" w:firstLine="480"/>
        <w:jc w:val="left"/>
        <w:rPr>
          <w:rFonts w:ascii="仿宋_GB2312" w:eastAsia="仿宋_GB2312"/>
          <w:sz w:val="24"/>
        </w:rPr>
      </w:pPr>
      <w:r>
        <w:rPr>
          <w:rFonts w:ascii="仿宋_GB2312" w:eastAsia="仿宋_GB2312" w:hint="eastAsia"/>
          <w:sz w:val="24"/>
        </w:rPr>
        <w:t>（二）比赛内容</w:t>
      </w:r>
    </w:p>
    <w:p w:rsidR="003456DE" w:rsidRDefault="00C20B43">
      <w:pPr>
        <w:widowControl/>
        <w:shd w:val="clear" w:color="auto" w:fill="FFFFFF"/>
        <w:snapToGrid w:val="0"/>
        <w:spacing w:line="300" w:lineRule="auto"/>
        <w:ind w:firstLineChars="200" w:firstLine="480"/>
        <w:jc w:val="left"/>
        <w:rPr>
          <w:rFonts w:ascii="仿宋_GB2312" w:eastAsia="仿宋_GB2312"/>
          <w:sz w:val="24"/>
        </w:rPr>
      </w:pPr>
      <w:r>
        <w:rPr>
          <w:rFonts w:ascii="仿宋_GB2312" w:eastAsia="仿宋_GB2312" w:hint="eastAsia"/>
          <w:sz w:val="24"/>
        </w:rPr>
        <w:t>比赛具体内容与国赛直接对接，竞赛采用国赛指定软件：中教畅享“电子商务技能综合实训与竞赛系统”，比赛内容为电子商务技能竞赛以网店开设装修、网店运营推广、网络客户服务、网店经营分析三个关键任务完成质量以及选手职业素养作为竞赛内容，全面考察选手的商品整合能力、视觉营销能力、网络营销能力、客户服务能力、网店运营能力、团队合作能力，提高选手利用数据实现精准营销能力。</w:t>
      </w:r>
    </w:p>
    <w:p w:rsidR="003456DE" w:rsidRDefault="00C20B43">
      <w:pPr>
        <w:widowControl/>
        <w:shd w:val="clear" w:color="auto" w:fill="FFFFFF"/>
        <w:snapToGrid w:val="0"/>
        <w:spacing w:line="300" w:lineRule="auto"/>
        <w:ind w:firstLineChars="200" w:firstLine="480"/>
        <w:jc w:val="left"/>
        <w:rPr>
          <w:rFonts w:ascii="仿宋_GB2312" w:eastAsia="仿宋_GB2312"/>
          <w:sz w:val="24"/>
        </w:rPr>
      </w:pPr>
      <w:r>
        <w:rPr>
          <w:rFonts w:ascii="仿宋_GB2312" w:eastAsia="仿宋_GB2312" w:hint="eastAsia"/>
          <w:sz w:val="24"/>
        </w:rPr>
        <w:t>赛项以企业关键岗位的核心技能为竞赛内容，涵盖了专业主干课程，促进高等职业教育教学改革。通过竞赛，考察参赛选手职业道德、职业素养、技术技能水平和创业能力，全面提升教学质量。赛项对接产业前沿技术，提高网络营销效率和精准性，减少了企业巨额的试错成本，促进行业、企业、学校协同育人。激发大学生电子商务创业热情，推动“大众创业、万众创新”，提高电子商务高等职业人才培养质量和社会影响力。</w:t>
      </w:r>
    </w:p>
    <w:p w:rsidR="003456DE" w:rsidRDefault="00C20B43">
      <w:pPr>
        <w:widowControl/>
        <w:shd w:val="clear" w:color="auto" w:fill="FFFFFF"/>
        <w:snapToGrid w:val="0"/>
        <w:spacing w:line="300" w:lineRule="auto"/>
        <w:ind w:firstLineChars="200" w:firstLine="480"/>
        <w:jc w:val="left"/>
        <w:rPr>
          <w:rFonts w:ascii="仿宋_GB2312" w:eastAsia="仿宋_GB2312"/>
          <w:b/>
          <w:sz w:val="24"/>
        </w:rPr>
      </w:pPr>
      <w:r>
        <w:rPr>
          <w:rFonts w:ascii="仿宋_GB2312" w:eastAsia="仿宋_GB2312" w:hint="eastAsia"/>
          <w:b/>
          <w:sz w:val="24"/>
        </w:rPr>
        <w:t>三、比赛时间与地点</w:t>
      </w:r>
    </w:p>
    <w:p w:rsidR="003456DE" w:rsidRDefault="00C20B43">
      <w:pPr>
        <w:widowControl/>
        <w:shd w:val="clear" w:color="auto" w:fill="FFFFFF"/>
        <w:snapToGrid w:val="0"/>
        <w:spacing w:line="300" w:lineRule="auto"/>
        <w:ind w:firstLineChars="200" w:firstLine="480"/>
        <w:jc w:val="left"/>
        <w:rPr>
          <w:rFonts w:ascii="仿宋_GB2312" w:eastAsia="仿宋_GB2312"/>
          <w:sz w:val="24"/>
        </w:rPr>
      </w:pPr>
      <w:r>
        <w:rPr>
          <w:rFonts w:ascii="仿宋_GB2312" w:eastAsia="仿宋_GB2312" w:hint="eastAsia"/>
          <w:sz w:val="24"/>
        </w:rPr>
        <w:t>比赛时间：2017年</w:t>
      </w:r>
      <w:r w:rsidR="009872AD">
        <w:rPr>
          <w:rFonts w:ascii="仿宋_GB2312" w:eastAsia="仿宋_GB2312" w:hint="eastAsia"/>
          <w:sz w:val="24"/>
        </w:rPr>
        <w:t>11</w:t>
      </w:r>
      <w:r>
        <w:rPr>
          <w:rFonts w:ascii="仿宋_GB2312" w:eastAsia="仿宋_GB2312" w:hint="eastAsia"/>
          <w:sz w:val="24"/>
        </w:rPr>
        <w:t>月</w:t>
      </w:r>
      <w:r w:rsidR="009872AD">
        <w:rPr>
          <w:rFonts w:ascii="仿宋_GB2312" w:eastAsia="仿宋_GB2312" w:hint="eastAsia"/>
          <w:sz w:val="24"/>
        </w:rPr>
        <w:t>1</w:t>
      </w:r>
      <w:r>
        <w:rPr>
          <w:rFonts w:ascii="仿宋_GB2312" w:eastAsia="仿宋_GB2312" w:hint="eastAsia"/>
          <w:sz w:val="24"/>
        </w:rPr>
        <w:t>日，比赛时间为380分钟。</w:t>
      </w:r>
    </w:p>
    <w:p w:rsidR="003456DE" w:rsidRDefault="00C20B43">
      <w:pPr>
        <w:widowControl/>
        <w:shd w:val="clear" w:color="auto" w:fill="FFFFFF"/>
        <w:snapToGrid w:val="0"/>
        <w:spacing w:line="300" w:lineRule="auto"/>
        <w:ind w:firstLineChars="200" w:firstLine="480"/>
        <w:jc w:val="left"/>
        <w:rPr>
          <w:rFonts w:ascii="仿宋_GB2312" w:eastAsia="仿宋_GB2312"/>
          <w:sz w:val="24"/>
        </w:rPr>
      </w:pPr>
      <w:r>
        <w:rPr>
          <w:rFonts w:ascii="仿宋_GB2312" w:eastAsia="仿宋_GB2312" w:hint="eastAsia"/>
          <w:sz w:val="24"/>
        </w:rPr>
        <w:t>比赛地点：</w:t>
      </w:r>
      <w:r w:rsidR="009872AD">
        <w:rPr>
          <w:rFonts w:ascii="仿宋_GB2312" w:eastAsia="仿宋_GB2312" w:hint="eastAsia"/>
          <w:sz w:val="24"/>
        </w:rPr>
        <w:t>经贸系实训中心</w:t>
      </w:r>
    </w:p>
    <w:p w:rsidR="003456DE" w:rsidRDefault="003456DE">
      <w:pPr>
        <w:widowControl/>
        <w:shd w:val="clear" w:color="auto" w:fill="FFFFFF"/>
        <w:spacing w:line="300" w:lineRule="auto"/>
        <w:rPr>
          <w:rFonts w:ascii="仿宋_GB2312" w:eastAsia="仿宋_GB2312" w:hAnsi="宋体" w:cs="宋体"/>
          <w:b/>
          <w:kern w:val="0"/>
          <w:sz w:val="24"/>
        </w:rPr>
      </w:pPr>
    </w:p>
    <w:p w:rsidR="003456DE" w:rsidRDefault="00B23457" w:rsidP="009872AD">
      <w:pPr>
        <w:widowControl/>
        <w:spacing w:line="300" w:lineRule="auto"/>
        <w:ind w:firstLineChars="196" w:firstLine="471"/>
        <w:jc w:val="left"/>
        <w:rPr>
          <w:rFonts w:ascii="黑体" w:eastAsia="黑体"/>
          <w:b/>
          <w:sz w:val="24"/>
        </w:rPr>
      </w:pPr>
      <w:bookmarkStart w:id="0" w:name="_Toc316746039"/>
      <w:bookmarkStart w:id="1" w:name="_Toc318711449"/>
      <w:r>
        <w:rPr>
          <w:rFonts w:ascii="仿宋_GB2312" w:eastAsia="仿宋_GB2312" w:hint="eastAsia"/>
          <w:b/>
          <w:sz w:val="24"/>
        </w:rPr>
        <w:t>四</w:t>
      </w:r>
      <w:r w:rsidR="00C20B43">
        <w:rPr>
          <w:rFonts w:ascii="仿宋_GB2312" w:eastAsia="仿宋_GB2312" w:hint="eastAsia"/>
          <w:b/>
          <w:sz w:val="24"/>
        </w:rPr>
        <w:t>、竞赛内容、分值与时间</w:t>
      </w:r>
    </w:p>
    <w:p w:rsidR="003456DE" w:rsidRDefault="00C20B43">
      <w:pPr>
        <w:spacing w:line="300" w:lineRule="auto"/>
        <w:ind w:firstLineChars="200" w:firstLine="480"/>
        <w:rPr>
          <w:rFonts w:ascii="仿宋_GB2312" w:eastAsia="仿宋_GB2312"/>
          <w:sz w:val="24"/>
        </w:rPr>
      </w:pPr>
      <w:r>
        <w:rPr>
          <w:rFonts w:ascii="仿宋_GB2312" w:eastAsia="仿宋_GB2312" w:hint="eastAsia"/>
          <w:sz w:val="24"/>
        </w:rPr>
        <w:t>竞赛采用软件：中教畅享“电子商务技能综合实训与竞赛系统”。</w:t>
      </w:r>
    </w:p>
    <w:p w:rsidR="003456DE" w:rsidRDefault="00C20B43">
      <w:pPr>
        <w:spacing w:line="300" w:lineRule="auto"/>
        <w:ind w:firstLineChars="200" w:firstLine="480"/>
        <w:rPr>
          <w:rFonts w:ascii="仿宋_GB2312" w:eastAsia="仿宋_GB2312"/>
          <w:sz w:val="24"/>
        </w:rPr>
      </w:pPr>
      <w:r>
        <w:rPr>
          <w:rFonts w:ascii="仿宋_GB2312" w:eastAsia="仿宋_GB2312" w:hint="eastAsia"/>
          <w:sz w:val="24"/>
        </w:rPr>
        <w:t>比赛时间：2017年</w:t>
      </w:r>
      <w:r w:rsidR="009872AD">
        <w:rPr>
          <w:rFonts w:ascii="仿宋_GB2312" w:eastAsia="仿宋_GB2312" w:hint="eastAsia"/>
          <w:sz w:val="24"/>
        </w:rPr>
        <w:t>11</w:t>
      </w:r>
      <w:r>
        <w:rPr>
          <w:rFonts w:ascii="仿宋_GB2312" w:eastAsia="仿宋_GB2312" w:hint="eastAsia"/>
          <w:sz w:val="24"/>
        </w:rPr>
        <w:t>月</w:t>
      </w:r>
      <w:r w:rsidR="009872AD">
        <w:rPr>
          <w:rFonts w:ascii="仿宋_GB2312" w:eastAsia="仿宋_GB2312" w:hint="eastAsia"/>
          <w:sz w:val="24"/>
        </w:rPr>
        <w:t>1</w:t>
      </w:r>
      <w:r>
        <w:rPr>
          <w:rFonts w:ascii="仿宋_GB2312" w:eastAsia="仿宋_GB2312" w:hint="eastAsia"/>
          <w:sz w:val="24"/>
        </w:rPr>
        <w:t>日</w:t>
      </w:r>
      <w:r w:rsidR="009872AD">
        <w:rPr>
          <w:rFonts w:ascii="仿宋_GB2312" w:eastAsia="仿宋_GB2312" w:hint="eastAsia"/>
          <w:sz w:val="24"/>
        </w:rPr>
        <w:t>12.30</w:t>
      </w:r>
      <w:r>
        <w:rPr>
          <w:rFonts w:ascii="仿宋_GB2312" w:eastAsia="仿宋_GB2312" w:hint="eastAsia"/>
          <w:sz w:val="24"/>
        </w:rPr>
        <w:t>---</w:t>
      </w:r>
      <w:r w:rsidR="009872AD">
        <w:rPr>
          <w:rFonts w:ascii="仿宋_GB2312" w:eastAsia="仿宋_GB2312" w:hint="eastAsia"/>
          <w:sz w:val="24"/>
        </w:rPr>
        <w:t>18.30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0"/>
        <w:gridCol w:w="1339"/>
        <w:gridCol w:w="2531"/>
        <w:gridCol w:w="892"/>
        <w:gridCol w:w="1789"/>
        <w:gridCol w:w="1215"/>
      </w:tblGrid>
      <w:tr w:rsidR="003456DE">
        <w:trPr>
          <w:trHeight w:val="343"/>
          <w:jc w:val="center"/>
        </w:trPr>
        <w:tc>
          <w:tcPr>
            <w:tcW w:w="1370" w:type="dxa"/>
            <w:vAlign w:val="center"/>
          </w:tcPr>
          <w:p w:rsidR="003456DE" w:rsidRDefault="00C20B43">
            <w:pPr>
              <w:pStyle w:val="a4"/>
              <w:spacing w:line="300" w:lineRule="auto"/>
              <w:jc w:val="center"/>
              <w:rPr>
                <w:rFonts w:ascii="仿宋_GB2312" w:eastAsia="仿宋_GB2312" w:hAnsi="仿宋"/>
                <w:b/>
                <w:sz w:val="24"/>
              </w:rPr>
            </w:pPr>
            <w:r>
              <w:rPr>
                <w:rFonts w:ascii="仿宋_GB2312" w:eastAsia="仿宋_GB2312" w:hAnsi="仿宋" w:hint="eastAsia"/>
                <w:b/>
                <w:sz w:val="24"/>
              </w:rPr>
              <w:t>竞赛阶段</w:t>
            </w:r>
          </w:p>
        </w:tc>
        <w:tc>
          <w:tcPr>
            <w:tcW w:w="1339" w:type="dxa"/>
            <w:vAlign w:val="center"/>
          </w:tcPr>
          <w:p w:rsidR="003456DE" w:rsidRDefault="00C20B43">
            <w:pPr>
              <w:pStyle w:val="a4"/>
              <w:spacing w:line="300" w:lineRule="auto"/>
              <w:jc w:val="center"/>
              <w:rPr>
                <w:rFonts w:ascii="仿宋_GB2312" w:eastAsia="仿宋_GB2312" w:hAnsi="仿宋"/>
                <w:b/>
                <w:sz w:val="24"/>
              </w:rPr>
            </w:pPr>
            <w:r>
              <w:rPr>
                <w:rFonts w:ascii="仿宋_GB2312" w:eastAsia="仿宋_GB2312" w:hAnsi="仿宋" w:hint="eastAsia"/>
                <w:b/>
                <w:sz w:val="24"/>
              </w:rPr>
              <w:t>竞赛内容</w:t>
            </w:r>
          </w:p>
        </w:tc>
        <w:tc>
          <w:tcPr>
            <w:tcW w:w="2531" w:type="dxa"/>
            <w:vAlign w:val="center"/>
          </w:tcPr>
          <w:p w:rsidR="003456DE" w:rsidRDefault="00C20B43">
            <w:pPr>
              <w:pStyle w:val="a4"/>
              <w:spacing w:line="300" w:lineRule="auto"/>
              <w:jc w:val="center"/>
              <w:rPr>
                <w:rFonts w:ascii="仿宋_GB2312" w:eastAsia="仿宋_GB2312" w:hAnsi="仿宋"/>
                <w:b/>
                <w:sz w:val="24"/>
              </w:rPr>
            </w:pPr>
            <w:r>
              <w:rPr>
                <w:rFonts w:ascii="仿宋_GB2312" w:eastAsia="仿宋_GB2312" w:hAnsi="仿宋" w:hint="eastAsia"/>
                <w:b/>
                <w:sz w:val="24"/>
              </w:rPr>
              <w:t>知识</w:t>
            </w:r>
          </w:p>
        </w:tc>
        <w:tc>
          <w:tcPr>
            <w:tcW w:w="892" w:type="dxa"/>
            <w:vAlign w:val="center"/>
          </w:tcPr>
          <w:p w:rsidR="003456DE" w:rsidRDefault="00C20B43">
            <w:pPr>
              <w:pStyle w:val="a4"/>
              <w:spacing w:line="300" w:lineRule="auto"/>
              <w:jc w:val="center"/>
              <w:rPr>
                <w:rFonts w:ascii="仿宋_GB2312" w:eastAsia="仿宋_GB2312" w:hAnsi="仿宋"/>
                <w:b/>
                <w:sz w:val="24"/>
              </w:rPr>
            </w:pPr>
            <w:r>
              <w:rPr>
                <w:rFonts w:ascii="仿宋_GB2312" w:eastAsia="仿宋_GB2312" w:hAnsi="仿宋" w:hint="eastAsia"/>
                <w:b/>
                <w:sz w:val="24"/>
              </w:rPr>
              <w:t>分值</w:t>
            </w:r>
          </w:p>
        </w:tc>
        <w:tc>
          <w:tcPr>
            <w:tcW w:w="1789" w:type="dxa"/>
            <w:vAlign w:val="center"/>
          </w:tcPr>
          <w:p w:rsidR="003456DE" w:rsidRDefault="00C20B43">
            <w:pPr>
              <w:pStyle w:val="a4"/>
              <w:spacing w:line="300" w:lineRule="auto"/>
              <w:jc w:val="center"/>
              <w:rPr>
                <w:rFonts w:ascii="仿宋_GB2312" w:eastAsia="仿宋_GB2312" w:hAnsi="仿宋"/>
                <w:b/>
                <w:sz w:val="24"/>
              </w:rPr>
            </w:pPr>
            <w:r>
              <w:rPr>
                <w:rFonts w:ascii="仿宋_GB2312" w:eastAsia="仿宋_GB2312" w:hAnsi="仿宋" w:hint="eastAsia"/>
                <w:b/>
                <w:sz w:val="24"/>
              </w:rPr>
              <w:t>竞赛方式</w:t>
            </w:r>
          </w:p>
        </w:tc>
        <w:tc>
          <w:tcPr>
            <w:tcW w:w="1215" w:type="dxa"/>
            <w:vAlign w:val="center"/>
          </w:tcPr>
          <w:p w:rsidR="003456DE" w:rsidRDefault="00C20B43">
            <w:pPr>
              <w:pStyle w:val="a4"/>
              <w:spacing w:line="300" w:lineRule="auto"/>
              <w:jc w:val="center"/>
              <w:rPr>
                <w:rFonts w:ascii="仿宋_GB2312" w:eastAsia="仿宋_GB2312" w:hAnsi="仿宋"/>
                <w:b/>
                <w:sz w:val="24"/>
              </w:rPr>
            </w:pPr>
            <w:r>
              <w:rPr>
                <w:rFonts w:ascii="仿宋_GB2312" w:eastAsia="仿宋_GB2312" w:hAnsi="仿宋" w:hint="eastAsia"/>
                <w:b/>
                <w:sz w:val="24"/>
              </w:rPr>
              <w:t>时间</w:t>
            </w:r>
          </w:p>
        </w:tc>
      </w:tr>
      <w:tr w:rsidR="003456DE">
        <w:trPr>
          <w:trHeight w:val="510"/>
          <w:jc w:val="center"/>
        </w:trPr>
        <w:tc>
          <w:tcPr>
            <w:tcW w:w="1370"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第一阶段</w:t>
            </w:r>
          </w:p>
        </w:tc>
        <w:tc>
          <w:tcPr>
            <w:tcW w:w="1339"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开设装修</w:t>
            </w:r>
          </w:p>
        </w:tc>
        <w:tc>
          <w:tcPr>
            <w:tcW w:w="2531" w:type="dxa"/>
            <w:vAlign w:val="center"/>
          </w:tcPr>
          <w:p w:rsidR="003456DE" w:rsidRDefault="00C20B43">
            <w:pPr>
              <w:pStyle w:val="a4"/>
              <w:rPr>
                <w:rFonts w:ascii="仿宋_GB2312" w:eastAsia="仿宋_GB2312" w:hAnsi="仿宋"/>
                <w:sz w:val="24"/>
              </w:rPr>
            </w:pPr>
            <w:r>
              <w:rPr>
                <w:rFonts w:ascii="仿宋_GB2312" w:eastAsia="仿宋_GB2312" w:hAnsi="仿宋" w:hint="eastAsia"/>
                <w:sz w:val="24"/>
              </w:rPr>
              <w:t>商品实务</w:t>
            </w:r>
          </w:p>
          <w:p w:rsidR="003456DE" w:rsidRDefault="00C20B43">
            <w:pPr>
              <w:pStyle w:val="a4"/>
              <w:rPr>
                <w:rFonts w:ascii="仿宋_GB2312" w:eastAsia="仿宋_GB2312" w:hAnsi="仿宋"/>
                <w:sz w:val="24"/>
              </w:rPr>
            </w:pPr>
            <w:r>
              <w:rPr>
                <w:rFonts w:ascii="仿宋_GB2312" w:eastAsia="仿宋_GB2312" w:hAnsi="仿宋" w:hint="eastAsia"/>
                <w:sz w:val="24"/>
              </w:rPr>
              <w:t>商品信息采集与描述</w:t>
            </w:r>
          </w:p>
          <w:p w:rsidR="003456DE" w:rsidRDefault="00C20B43">
            <w:pPr>
              <w:pStyle w:val="a4"/>
              <w:rPr>
                <w:rFonts w:ascii="仿宋_GB2312" w:eastAsia="仿宋_GB2312" w:hAnsi="仿宋"/>
                <w:sz w:val="24"/>
              </w:rPr>
            </w:pPr>
            <w:r>
              <w:rPr>
                <w:rFonts w:ascii="仿宋_GB2312" w:eastAsia="仿宋_GB2312" w:hAnsi="仿宋" w:hint="eastAsia"/>
                <w:sz w:val="24"/>
              </w:rPr>
              <w:t>商务网页设计与制作</w:t>
            </w:r>
          </w:p>
          <w:p w:rsidR="003456DE" w:rsidRDefault="00C20B43">
            <w:pPr>
              <w:pStyle w:val="a4"/>
              <w:rPr>
                <w:rFonts w:ascii="仿宋_GB2312" w:eastAsia="仿宋_GB2312" w:hAnsi="仿宋"/>
                <w:sz w:val="24"/>
              </w:rPr>
            </w:pPr>
            <w:r>
              <w:rPr>
                <w:rFonts w:ascii="仿宋_GB2312" w:eastAsia="仿宋_GB2312" w:hAnsi="仿宋" w:hint="eastAsia"/>
                <w:sz w:val="24"/>
              </w:rPr>
              <w:t>移动商务</w:t>
            </w:r>
          </w:p>
        </w:tc>
        <w:tc>
          <w:tcPr>
            <w:tcW w:w="892"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20分</w:t>
            </w:r>
          </w:p>
        </w:tc>
        <w:tc>
          <w:tcPr>
            <w:tcW w:w="1789"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2人分工合作</w:t>
            </w:r>
          </w:p>
        </w:tc>
        <w:tc>
          <w:tcPr>
            <w:tcW w:w="1215"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60分钟</w:t>
            </w:r>
          </w:p>
        </w:tc>
      </w:tr>
      <w:tr w:rsidR="003456DE">
        <w:trPr>
          <w:trHeight w:val="510"/>
          <w:jc w:val="center"/>
        </w:trPr>
        <w:tc>
          <w:tcPr>
            <w:tcW w:w="1370"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第二阶段</w:t>
            </w:r>
          </w:p>
        </w:tc>
        <w:tc>
          <w:tcPr>
            <w:tcW w:w="1339"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客户服务</w:t>
            </w:r>
          </w:p>
        </w:tc>
        <w:tc>
          <w:tcPr>
            <w:tcW w:w="2531" w:type="dxa"/>
            <w:vAlign w:val="center"/>
          </w:tcPr>
          <w:p w:rsidR="003456DE" w:rsidRDefault="00C20B43">
            <w:pPr>
              <w:pStyle w:val="a4"/>
              <w:rPr>
                <w:rFonts w:ascii="仿宋_GB2312" w:eastAsia="仿宋_GB2312" w:hAnsi="仿宋"/>
                <w:sz w:val="24"/>
              </w:rPr>
            </w:pPr>
            <w:r>
              <w:rPr>
                <w:rFonts w:ascii="仿宋_GB2312" w:eastAsia="仿宋_GB2312" w:hAnsi="仿宋" w:hint="eastAsia"/>
                <w:sz w:val="24"/>
              </w:rPr>
              <w:t>客户服务与管理</w:t>
            </w:r>
          </w:p>
        </w:tc>
        <w:tc>
          <w:tcPr>
            <w:tcW w:w="892"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10分</w:t>
            </w:r>
          </w:p>
        </w:tc>
        <w:tc>
          <w:tcPr>
            <w:tcW w:w="1789"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2人独立操作</w:t>
            </w:r>
          </w:p>
        </w:tc>
        <w:tc>
          <w:tcPr>
            <w:tcW w:w="1215"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20分钟</w:t>
            </w:r>
          </w:p>
        </w:tc>
      </w:tr>
      <w:tr w:rsidR="003456DE">
        <w:trPr>
          <w:trHeight w:val="687"/>
          <w:jc w:val="center"/>
        </w:trPr>
        <w:tc>
          <w:tcPr>
            <w:tcW w:w="1370"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第三阶段</w:t>
            </w:r>
          </w:p>
        </w:tc>
        <w:tc>
          <w:tcPr>
            <w:tcW w:w="1339"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运营推广</w:t>
            </w:r>
          </w:p>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经营分析</w:t>
            </w:r>
          </w:p>
        </w:tc>
        <w:tc>
          <w:tcPr>
            <w:tcW w:w="2531" w:type="dxa"/>
            <w:vAlign w:val="center"/>
          </w:tcPr>
          <w:p w:rsidR="003456DE" w:rsidRDefault="00C20B43">
            <w:pPr>
              <w:pStyle w:val="a4"/>
              <w:rPr>
                <w:rFonts w:ascii="仿宋_GB2312" w:eastAsia="仿宋_GB2312" w:hAnsi="仿宋"/>
                <w:sz w:val="24"/>
              </w:rPr>
            </w:pPr>
            <w:r>
              <w:rPr>
                <w:rFonts w:ascii="仿宋_GB2312" w:eastAsia="仿宋_GB2312" w:hAnsi="仿宋" w:hint="eastAsia"/>
                <w:sz w:val="24"/>
              </w:rPr>
              <w:t>网络营销</w:t>
            </w:r>
          </w:p>
          <w:p w:rsidR="003456DE" w:rsidRDefault="00C20B43">
            <w:pPr>
              <w:pStyle w:val="a4"/>
              <w:rPr>
                <w:rFonts w:ascii="仿宋_GB2312" w:eastAsia="仿宋_GB2312" w:hAnsi="仿宋"/>
                <w:sz w:val="24"/>
              </w:rPr>
            </w:pPr>
            <w:r>
              <w:rPr>
                <w:rFonts w:ascii="仿宋_GB2312" w:eastAsia="仿宋_GB2312" w:hAnsi="仿宋" w:hint="eastAsia"/>
                <w:sz w:val="24"/>
              </w:rPr>
              <w:t>网络贸易</w:t>
            </w:r>
          </w:p>
          <w:p w:rsidR="003456DE" w:rsidRDefault="00C20B43">
            <w:pPr>
              <w:pStyle w:val="a4"/>
              <w:rPr>
                <w:rFonts w:ascii="仿宋_GB2312" w:eastAsia="仿宋_GB2312" w:hAnsi="仿宋"/>
                <w:sz w:val="24"/>
              </w:rPr>
            </w:pPr>
            <w:r>
              <w:rPr>
                <w:rFonts w:ascii="仿宋_GB2312" w:eastAsia="仿宋_GB2312" w:hAnsi="仿宋" w:hint="eastAsia"/>
                <w:sz w:val="24"/>
              </w:rPr>
              <w:t>电子商务创业</w:t>
            </w:r>
          </w:p>
        </w:tc>
        <w:tc>
          <w:tcPr>
            <w:tcW w:w="892"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70分</w:t>
            </w:r>
          </w:p>
        </w:tc>
        <w:tc>
          <w:tcPr>
            <w:tcW w:w="1789" w:type="dxa"/>
            <w:vAlign w:val="center"/>
          </w:tcPr>
          <w:p w:rsidR="003456DE" w:rsidRDefault="00B23457">
            <w:pPr>
              <w:pStyle w:val="a4"/>
              <w:spacing w:line="300" w:lineRule="auto"/>
              <w:jc w:val="center"/>
              <w:rPr>
                <w:rFonts w:ascii="仿宋_GB2312" w:eastAsia="仿宋_GB2312" w:hAnsi="仿宋"/>
                <w:sz w:val="24"/>
              </w:rPr>
            </w:pPr>
            <w:r>
              <w:rPr>
                <w:rFonts w:ascii="仿宋_GB2312" w:eastAsia="仿宋_GB2312" w:hAnsi="仿宋" w:hint="eastAsia"/>
                <w:sz w:val="24"/>
              </w:rPr>
              <w:t>2</w:t>
            </w:r>
            <w:r w:rsidR="00C20B43">
              <w:rPr>
                <w:rFonts w:ascii="仿宋_GB2312" w:eastAsia="仿宋_GB2312" w:hAnsi="仿宋" w:hint="eastAsia"/>
                <w:sz w:val="24"/>
              </w:rPr>
              <w:t>人分工合作</w:t>
            </w:r>
          </w:p>
        </w:tc>
        <w:tc>
          <w:tcPr>
            <w:tcW w:w="1215" w:type="dxa"/>
            <w:vAlign w:val="center"/>
          </w:tcPr>
          <w:p w:rsidR="003456DE" w:rsidRDefault="00C20B43">
            <w:pPr>
              <w:pStyle w:val="a4"/>
              <w:spacing w:line="300" w:lineRule="auto"/>
              <w:jc w:val="center"/>
              <w:rPr>
                <w:rFonts w:ascii="仿宋_GB2312" w:eastAsia="仿宋_GB2312" w:hAnsi="仿宋"/>
                <w:sz w:val="24"/>
              </w:rPr>
            </w:pPr>
            <w:r>
              <w:rPr>
                <w:rFonts w:ascii="仿宋_GB2312" w:eastAsia="仿宋_GB2312" w:hAnsi="仿宋" w:hint="eastAsia"/>
                <w:sz w:val="24"/>
              </w:rPr>
              <w:t>300分钟</w:t>
            </w:r>
          </w:p>
        </w:tc>
      </w:tr>
    </w:tbl>
    <w:p w:rsidR="003456DE" w:rsidRDefault="00C20B43" w:rsidP="009872AD">
      <w:pPr>
        <w:widowControl/>
        <w:spacing w:line="300" w:lineRule="auto"/>
        <w:ind w:firstLineChars="196" w:firstLine="471"/>
        <w:jc w:val="left"/>
        <w:rPr>
          <w:rFonts w:ascii="仿宋_GB2312" w:eastAsia="仿宋_GB2312"/>
          <w:b/>
          <w:sz w:val="24"/>
        </w:rPr>
      </w:pPr>
      <w:r>
        <w:rPr>
          <w:rFonts w:ascii="仿宋_GB2312" w:eastAsia="仿宋_GB2312" w:hint="eastAsia"/>
          <w:b/>
          <w:sz w:val="24"/>
        </w:rPr>
        <w:t>五、竞赛命题</w:t>
      </w:r>
    </w:p>
    <w:p w:rsidR="003456DE" w:rsidRDefault="00C20B43">
      <w:pPr>
        <w:widowControl/>
        <w:spacing w:line="300" w:lineRule="auto"/>
        <w:ind w:firstLineChars="196" w:firstLine="470"/>
        <w:jc w:val="left"/>
        <w:rPr>
          <w:rFonts w:ascii="仿宋_GB2312" w:eastAsia="仿宋_GB2312"/>
          <w:sz w:val="24"/>
        </w:rPr>
      </w:pPr>
      <w:r>
        <w:rPr>
          <w:rFonts w:ascii="仿宋_GB2312" w:eastAsia="仿宋_GB2312" w:hint="eastAsia"/>
          <w:sz w:val="24"/>
        </w:rPr>
        <w:t>本赛项公开试题，比赛第一阶段开设装修，第二阶段客户服务，第三阶段运营推广与经营分析。</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本赛项公开竞赛内容</w:t>
      </w:r>
      <w:r>
        <w:rPr>
          <w:rFonts w:ascii="仿宋_GB2312" w:eastAsia="仿宋_GB2312" w:hint="eastAsia"/>
          <w:sz w:val="24"/>
        </w:rPr>
        <w:t>，提供竞赛样题。本赛项竞赛试题采用试题库方式，网店装修与客服的试题各10</w:t>
      </w:r>
      <w:r w:rsidR="00B23457">
        <w:rPr>
          <w:rFonts w:ascii="仿宋_GB2312" w:eastAsia="仿宋_GB2312" w:hint="eastAsia"/>
          <w:sz w:val="24"/>
        </w:rPr>
        <w:t>套，比赛前</w:t>
      </w:r>
      <w:r>
        <w:rPr>
          <w:rFonts w:ascii="仿宋_GB2312" w:eastAsia="仿宋_GB2312" w:hint="eastAsia"/>
          <w:sz w:val="24"/>
        </w:rPr>
        <w:t>随机抽取。</w:t>
      </w:r>
    </w:p>
    <w:p w:rsidR="003456DE" w:rsidRDefault="00C20B43" w:rsidP="009872AD">
      <w:pPr>
        <w:widowControl/>
        <w:spacing w:line="300" w:lineRule="auto"/>
        <w:ind w:firstLineChars="196" w:firstLine="471"/>
        <w:jc w:val="left"/>
        <w:rPr>
          <w:rFonts w:ascii="仿宋_GB2312" w:eastAsia="仿宋_GB2312"/>
          <w:b/>
          <w:sz w:val="24"/>
        </w:rPr>
      </w:pPr>
      <w:r>
        <w:rPr>
          <w:rFonts w:ascii="仿宋_GB2312" w:eastAsia="仿宋_GB2312" w:hint="eastAsia"/>
          <w:b/>
          <w:sz w:val="24"/>
        </w:rPr>
        <w:t>六、竞赛规则</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1.参赛选手应认真学习领会本次比赛相关文件，自觉遵守大赛纪律，服从指挥，听从安排，文明参赛。</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2.每个参赛队必须参加所有规定部分的比赛。</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lastRenderedPageBreak/>
        <w:t>3.参赛选手请勿携带与比赛无关的电子设备、通讯设备及其他相关资料与用品。</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4.参赛选手应提前15分钟到达赛场，凭参赛证、身份证检录，按要求入场，不得迟到早退。</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5.参赛选手应增强角色意识，科学合理分工与合作。</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6.参赛选手应按抽签的结果进入所在赛场和相应位置就坐</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7.在比赛过程中，参赛选手如有疑问，应举手示意，考场主裁判应按要求及时予以答疑。如遇设备或软件等故障，参赛选手应举手示意，考场主裁判、技术人员等应及时予以解决。确因计算机软件或硬件故障，致使操作无法继续的，经考场主裁判确认，予以启用备用计算机。</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8.比赛进行中，根据经营业绩，破产的队伍举手示意，经裁判查看并允许后即离开赛场；比赛时间终了，剩余选手应全体起立，结束操作。经裁判查看并允许后离开赛场。所有选手离开赛场时不得带走任何资料。</w:t>
      </w:r>
    </w:p>
    <w:p w:rsidR="003456DE" w:rsidRDefault="00C20B43">
      <w:pPr>
        <w:spacing w:line="300" w:lineRule="auto"/>
        <w:ind w:firstLineChars="200" w:firstLine="480"/>
        <w:rPr>
          <w:rFonts w:ascii="仿宋_GB2312" w:eastAsia="仿宋_GB2312" w:hAnsi="仿宋"/>
          <w:sz w:val="24"/>
        </w:rPr>
      </w:pPr>
      <w:r>
        <w:rPr>
          <w:rFonts w:ascii="仿宋_GB2312" w:eastAsia="仿宋_GB2312" w:hAnsi="仿宋" w:hint="eastAsia"/>
          <w:sz w:val="24"/>
        </w:rPr>
        <w:t>9.</w:t>
      </w:r>
      <w:r w:rsidR="00C3610F">
        <w:rPr>
          <w:rFonts w:ascii="仿宋_GB2312" w:eastAsia="仿宋_GB2312" w:hAnsi="仿宋" w:hint="eastAsia"/>
          <w:sz w:val="24"/>
        </w:rPr>
        <w:t>参赛代表同学</w:t>
      </w:r>
      <w:r>
        <w:rPr>
          <w:rFonts w:ascii="仿宋_GB2312" w:eastAsia="仿宋_GB2312" w:hAnsi="仿宋" w:hint="eastAsia"/>
          <w:sz w:val="24"/>
        </w:rPr>
        <w:t>若对赛事有异议，可由</w:t>
      </w:r>
      <w:r w:rsidR="00C3610F">
        <w:rPr>
          <w:rFonts w:ascii="仿宋_GB2312" w:eastAsia="仿宋_GB2312" w:hAnsi="仿宋" w:hint="eastAsia"/>
          <w:sz w:val="24"/>
        </w:rPr>
        <w:t>向指导老师按规程提出</w:t>
      </w:r>
      <w:r>
        <w:rPr>
          <w:rFonts w:ascii="仿宋_GB2312" w:eastAsia="仿宋_GB2312" w:hAnsi="仿宋" w:hint="eastAsia"/>
          <w:sz w:val="24"/>
        </w:rPr>
        <w:t>申诉。</w:t>
      </w:r>
    </w:p>
    <w:p w:rsidR="003456DE" w:rsidRDefault="00C20B43" w:rsidP="009872AD">
      <w:pPr>
        <w:widowControl/>
        <w:spacing w:line="300" w:lineRule="auto"/>
        <w:ind w:firstLineChars="196" w:firstLine="471"/>
        <w:jc w:val="left"/>
        <w:rPr>
          <w:rFonts w:ascii="仿宋_GB2312" w:eastAsia="仿宋_GB2312"/>
          <w:b/>
          <w:sz w:val="24"/>
        </w:rPr>
      </w:pPr>
      <w:r>
        <w:rPr>
          <w:rFonts w:ascii="仿宋_GB2312" w:eastAsia="仿宋_GB2312" w:hint="eastAsia"/>
          <w:b/>
          <w:sz w:val="24"/>
        </w:rPr>
        <w:t>七、竞赛场地与设备</w:t>
      </w:r>
    </w:p>
    <w:p w:rsidR="003456DE" w:rsidRDefault="00C20B43">
      <w:pPr>
        <w:spacing w:line="300" w:lineRule="auto"/>
        <w:ind w:firstLineChars="200" w:firstLine="480"/>
        <w:rPr>
          <w:rFonts w:ascii="仿宋_GB2312" w:eastAsia="仿宋_GB2312"/>
          <w:sz w:val="24"/>
        </w:rPr>
      </w:pPr>
      <w:r>
        <w:rPr>
          <w:rFonts w:ascii="仿宋_GB2312" w:eastAsia="仿宋_GB2312" w:hint="eastAsia"/>
          <w:sz w:val="24"/>
        </w:rPr>
        <w:t>竞赛场地设在电脑机房，每支队伍均提供3台操作电脑，一台备用电脑。</w:t>
      </w:r>
    </w:p>
    <w:p w:rsidR="003456DE" w:rsidRDefault="00C20B43" w:rsidP="009872AD">
      <w:pPr>
        <w:widowControl/>
        <w:spacing w:line="300" w:lineRule="auto"/>
        <w:ind w:firstLineChars="196" w:firstLine="471"/>
        <w:jc w:val="left"/>
        <w:rPr>
          <w:rFonts w:ascii="仿宋_GB2312" w:eastAsia="仿宋_GB2312"/>
          <w:b/>
          <w:sz w:val="24"/>
        </w:rPr>
      </w:pPr>
      <w:r>
        <w:rPr>
          <w:rFonts w:ascii="仿宋_GB2312" w:eastAsia="仿宋_GB2312" w:hint="eastAsia"/>
          <w:b/>
          <w:sz w:val="24"/>
        </w:rPr>
        <w:t>八、评分标准</w:t>
      </w:r>
    </w:p>
    <w:p w:rsidR="003456DE" w:rsidRDefault="00C20B43">
      <w:pPr>
        <w:widowControl/>
        <w:snapToGrid w:val="0"/>
        <w:spacing w:line="300" w:lineRule="auto"/>
        <w:ind w:firstLineChars="200" w:firstLine="480"/>
        <w:rPr>
          <w:rFonts w:ascii="仿宋_GB2312" w:eastAsia="仿宋_GB2312"/>
          <w:sz w:val="24"/>
        </w:rPr>
      </w:pPr>
      <w:r>
        <w:rPr>
          <w:rFonts w:ascii="仿宋_GB2312" w:eastAsia="仿宋_GB2312" w:hint="eastAsia"/>
          <w:sz w:val="24"/>
        </w:rPr>
        <w:t>网店客户服务、运营推广、经营分析的评分方式为软件系统自动评分。网店开设装修的评分方式为结果评分，由5名裁判对参赛队伍提交的网店装修进行评分。</w:t>
      </w:r>
    </w:p>
    <w:p w:rsidR="003456DE" w:rsidRDefault="00C20B43">
      <w:pPr>
        <w:spacing w:line="300" w:lineRule="auto"/>
        <w:ind w:firstLineChars="200" w:firstLine="480"/>
        <w:rPr>
          <w:rFonts w:ascii="仿宋_GB2312" w:eastAsia="仿宋_GB2312"/>
          <w:sz w:val="24"/>
        </w:rPr>
      </w:pPr>
      <w:r>
        <w:rPr>
          <w:rFonts w:ascii="仿宋_GB2312" w:eastAsia="仿宋_GB2312" w:hint="eastAsia"/>
          <w:sz w:val="24"/>
        </w:rPr>
        <w:t>赛项最终得分按100分制计分，每个</w:t>
      </w:r>
      <w:r>
        <w:rPr>
          <w:rFonts w:ascii="仿宋_GB2312" w:eastAsia="仿宋_GB2312" w:hAnsi="仿宋" w:hint="eastAsia"/>
          <w:sz w:val="24"/>
        </w:rPr>
        <w:t>赛场的“</w:t>
      </w:r>
      <w:r>
        <w:rPr>
          <w:rFonts w:ascii="仿宋_GB2312" w:eastAsia="仿宋_GB2312" w:hint="eastAsia"/>
          <w:sz w:val="24"/>
        </w:rPr>
        <w:t>运营推广、经营分析</w:t>
      </w:r>
      <w:r>
        <w:rPr>
          <w:rFonts w:ascii="仿宋_GB2312" w:eastAsia="仿宋_GB2312" w:hAnsi="仿宋" w:hint="eastAsia"/>
          <w:sz w:val="24"/>
        </w:rPr>
        <w:t>”第一名以满分70分计，第2名以65分计，以此类推，每递减1名降5分。最终和网店装修、</w:t>
      </w:r>
      <w:r>
        <w:rPr>
          <w:rFonts w:ascii="仿宋_GB2312" w:eastAsia="仿宋_GB2312" w:hint="eastAsia"/>
          <w:sz w:val="24"/>
        </w:rPr>
        <w:t>网店客户服务得分累加得出比赛总成绩，由高到低排出名次上报教育厅，分数相同者按“运营推广、经营分析”模块得分高低排序，若依然相同则按“运营推广、经营分析”</w:t>
      </w:r>
      <w:r>
        <w:rPr>
          <w:rFonts w:ascii="仿宋_GB2312" w:eastAsia="仿宋_GB2312" w:hint="eastAsia"/>
          <w:sz w:val="24"/>
        </w:rPr>
        <w:lastRenderedPageBreak/>
        <w:t>模块中的所有者权益得分排序。</w:t>
      </w:r>
    </w:p>
    <w:p w:rsidR="003456DE" w:rsidRDefault="00C20B43" w:rsidP="009872AD">
      <w:pPr>
        <w:widowControl/>
        <w:spacing w:line="300" w:lineRule="auto"/>
        <w:ind w:firstLineChars="196" w:firstLine="471"/>
        <w:jc w:val="left"/>
        <w:rPr>
          <w:rFonts w:ascii="黑体" w:eastAsia="黑体" w:hAnsi="黑体"/>
          <w:b/>
          <w:sz w:val="24"/>
        </w:rPr>
      </w:pPr>
      <w:r>
        <w:rPr>
          <w:rFonts w:ascii="仿宋_GB2312" w:eastAsia="仿宋_GB2312" w:hint="eastAsia"/>
          <w:b/>
          <w:sz w:val="24"/>
        </w:rPr>
        <w:t>九、奖励办法</w:t>
      </w:r>
    </w:p>
    <w:p w:rsidR="003456DE" w:rsidRDefault="00C20B43">
      <w:pPr>
        <w:widowControl/>
        <w:snapToGrid w:val="0"/>
        <w:spacing w:line="300" w:lineRule="auto"/>
        <w:ind w:firstLineChars="200" w:firstLine="480"/>
        <w:rPr>
          <w:rFonts w:ascii="仿宋_GB2312" w:eastAsia="仿宋_GB2312"/>
          <w:sz w:val="24"/>
        </w:rPr>
      </w:pPr>
      <w:r>
        <w:rPr>
          <w:rFonts w:ascii="仿宋_GB2312" w:eastAsia="仿宋_GB2312" w:hint="eastAsia"/>
          <w:sz w:val="24"/>
        </w:rPr>
        <w:t>依据</w:t>
      </w:r>
      <w:r w:rsidR="00B23457">
        <w:rPr>
          <w:rFonts w:ascii="仿宋_GB2312" w:eastAsia="仿宋_GB2312" w:hint="eastAsia"/>
          <w:sz w:val="24"/>
        </w:rPr>
        <w:t>学院第三届持能大赛</w:t>
      </w:r>
      <w:r>
        <w:rPr>
          <w:rFonts w:ascii="仿宋_GB2312" w:eastAsia="仿宋_GB2312" w:hint="eastAsia"/>
          <w:sz w:val="24"/>
        </w:rPr>
        <w:t>奖励办法进行奖励。</w:t>
      </w:r>
    </w:p>
    <w:p w:rsidR="003456DE" w:rsidRDefault="003456DE"/>
    <w:bookmarkEnd w:id="0"/>
    <w:bookmarkEnd w:id="1"/>
    <w:p w:rsidR="00C20B43" w:rsidRDefault="00C20B43">
      <w:pPr>
        <w:widowControl/>
        <w:shd w:val="clear" w:color="auto" w:fill="FFFFFF"/>
        <w:spacing w:line="300" w:lineRule="auto"/>
        <w:rPr>
          <w:rFonts w:ascii="仿宋_GB2312" w:eastAsia="仿宋_GB2312" w:hAnsi="仿宋_GB2312" w:cs="仿宋_GB2312"/>
          <w:sz w:val="24"/>
        </w:rPr>
      </w:pPr>
    </w:p>
    <w:sectPr w:rsidR="00C20B43" w:rsidSect="003456DE">
      <w:headerReference w:type="default" r:id="rId7"/>
      <w:footerReference w:type="even" r:id="rId8"/>
      <w:footerReference w:type="default" r:id="rId9"/>
      <w:pgSz w:w="11906" w:h="16838"/>
      <w:pgMar w:top="1440" w:right="1588" w:bottom="1440" w:left="158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A5A" w:rsidRDefault="00EB5A5A">
      <w:r>
        <w:separator/>
      </w:r>
    </w:p>
  </w:endnote>
  <w:endnote w:type="continuationSeparator" w:id="1">
    <w:p w:rsidR="00EB5A5A" w:rsidRDefault="00EB5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roma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DE" w:rsidRDefault="003456DE">
    <w:pPr>
      <w:pStyle w:val="a5"/>
      <w:framePr w:wrap="around" w:vAnchor="text" w:hAnchor="margin" w:xAlign="center" w:y="1"/>
      <w:rPr>
        <w:rStyle w:val="a3"/>
      </w:rPr>
    </w:pPr>
    <w:r>
      <w:fldChar w:fldCharType="begin"/>
    </w:r>
    <w:r w:rsidR="00C20B43">
      <w:rPr>
        <w:rStyle w:val="a3"/>
      </w:rPr>
      <w:instrText xml:space="preserve">PAGE  </w:instrText>
    </w:r>
    <w:r>
      <w:fldChar w:fldCharType="end"/>
    </w:r>
  </w:p>
  <w:p w:rsidR="003456DE" w:rsidRDefault="003456D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DE" w:rsidRDefault="003456D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A5A" w:rsidRDefault="00EB5A5A">
      <w:r>
        <w:separator/>
      </w:r>
    </w:p>
  </w:footnote>
  <w:footnote w:type="continuationSeparator" w:id="1">
    <w:p w:rsidR="00EB5A5A" w:rsidRDefault="00EB5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6DE" w:rsidRDefault="003456D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CE22"/>
    <w:multiLevelType w:val="singleLevel"/>
    <w:tmpl w:val="5146CE22"/>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832"/>
    <w:rsid w:val="00025E51"/>
    <w:rsid w:val="00066209"/>
    <w:rsid w:val="000721A5"/>
    <w:rsid w:val="00074FBD"/>
    <w:rsid w:val="00076984"/>
    <w:rsid w:val="00116575"/>
    <w:rsid w:val="00125DC2"/>
    <w:rsid w:val="001358A2"/>
    <w:rsid w:val="0014723A"/>
    <w:rsid w:val="00172A27"/>
    <w:rsid w:val="001B5DB2"/>
    <w:rsid w:val="00203CDF"/>
    <w:rsid w:val="00235430"/>
    <w:rsid w:val="002354C5"/>
    <w:rsid w:val="00240665"/>
    <w:rsid w:val="0024527B"/>
    <w:rsid w:val="00256B89"/>
    <w:rsid w:val="002678E2"/>
    <w:rsid w:val="00271DD7"/>
    <w:rsid w:val="002753A8"/>
    <w:rsid w:val="002A526C"/>
    <w:rsid w:val="002B2689"/>
    <w:rsid w:val="00312CAC"/>
    <w:rsid w:val="00333075"/>
    <w:rsid w:val="003456DE"/>
    <w:rsid w:val="00375B8A"/>
    <w:rsid w:val="00380376"/>
    <w:rsid w:val="003A70D4"/>
    <w:rsid w:val="003C6D12"/>
    <w:rsid w:val="003F2748"/>
    <w:rsid w:val="003F3947"/>
    <w:rsid w:val="003F54FB"/>
    <w:rsid w:val="00443DAE"/>
    <w:rsid w:val="00452803"/>
    <w:rsid w:val="00457069"/>
    <w:rsid w:val="00462F15"/>
    <w:rsid w:val="0048181B"/>
    <w:rsid w:val="004873ED"/>
    <w:rsid w:val="00511A71"/>
    <w:rsid w:val="0057491D"/>
    <w:rsid w:val="005C6249"/>
    <w:rsid w:val="005D7008"/>
    <w:rsid w:val="005E44E9"/>
    <w:rsid w:val="005E6C9C"/>
    <w:rsid w:val="005F012E"/>
    <w:rsid w:val="005F5C73"/>
    <w:rsid w:val="00677741"/>
    <w:rsid w:val="00681F80"/>
    <w:rsid w:val="006870A9"/>
    <w:rsid w:val="00692EAA"/>
    <w:rsid w:val="006961DC"/>
    <w:rsid w:val="00717A1B"/>
    <w:rsid w:val="0072142E"/>
    <w:rsid w:val="00761201"/>
    <w:rsid w:val="007677F8"/>
    <w:rsid w:val="007971ED"/>
    <w:rsid w:val="007A15D8"/>
    <w:rsid w:val="007A3FE2"/>
    <w:rsid w:val="007D081C"/>
    <w:rsid w:val="007F55B8"/>
    <w:rsid w:val="008223FA"/>
    <w:rsid w:val="008264C3"/>
    <w:rsid w:val="00886995"/>
    <w:rsid w:val="00891B08"/>
    <w:rsid w:val="008A1CE8"/>
    <w:rsid w:val="008D0CA1"/>
    <w:rsid w:val="008E6036"/>
    <w:rsid w:val="00910339"/>
    <w:rsid w:val="00921CBC"/>
    <w:rsid w:val="00934AB6"/>
    <w:rsid w:val="00970A13"/>
    <w:rsid w:val="009872AD"/>
    <w:rsid w:val="00990F85"/>
    <w:rsid w:val="009B61B7"/>
    <w:rsid w:val="009F3744"/>
    <w:rsid w:val="00A12E46"/>
    <w:rsid w:val="00A13EFB"/>
    <w:rsid w:val="00A55127"/>
    <w:rsid w:val="00A7553A"/>
    <w:rsid w:val="00A82B1D"/>
    <w:rsid w:val="00AC05A1"/>
    <w:rsid w:val="00AC689C"/>
    <w:rsid w:val="00AE6310"/>
    <w:rsid w:val="00B02FAB"/>
    <w:rsid w:val="00B049FD"/>
    <w:rsid w:val="00B13798"/>
    <w:rsid w:val="00B1539F"/>
    <w:rsid w:val="00B23457"/>
    <w:rsid w:val="00B4081C"/>
    <w:rsid w:val="00B52CC8"/>
    <w:rsid w:val="00B65CB0"/>
    <w:rsid w:val="00BA3E00"/>
    <w:rsid w:val="00BB6D61"/>
    <w:rsid w:val="00BE414A"/>
    <w:rsid w:val="00BE7EF8"/>
    <w:rsid w:val="00BF29AD"/>
    <w:rsid w:val="00C03D4D"/>
    <w:rsid w:val="00C20B43"/>
    <w:rsid w:val="00C3610F"/>
    <w:rsid w:val="00C807A0"/>
    <w:rsid w:val="00CF1DE7"/>
    <w:rsid w:val="00D23AAE"/>
    <w:rsid w:val="00D367D3"/>
    <w:rsid w:val="00D617A0"/>
    <w:rsid w:val="00D9706F"/>
    <w:rsid w:val="00DD73A3"/>
    <w:rsid w:val="00DE4C6D"/>
    <w:rsid w:val="00E74973"/>
    <w:rsid w:val="00E7663E"/>
    <w:rsid w:val="00EA2402"/>
    <w:rsid w:val="00EB0DDE"/>
    <w:rsid w:val="00EB5A5A"/>
    <w:rsid w:val="00EC0DC1"/>
    <w:rsid w:val="00F11CC9"/>
    <w:rsid w:val="00F17FE6"/>
    <w:rsid w:val="00F322A0"/>
    <w:rsid w:val="00F5603D"/>
    <w:rsid w:val="00FB1101"/>
    <w:rsid w:val="00FB1D2B"/>
    <w:rsid w:val="025E7A20"/>
    <w:rsid w:val="0BE35E45"/>
    <w:rsid w:val="207059C3"/>
    <w:rsid w:val="34081EEC"/>
    <w:rsid w:val="3A303BA6"/>
    <w:rsid w:val="3F44218D"/>
    <w:rsid w:val="53B57CAD"/>
    <w:rsid w:val="55ED5AF8"/>
    <w:rsid w:val="5E5240C9"/>
    <w:rsid w:val="668D2929"/>
    <w:rsid w:val="67A12DE4"/>
    <w:rsid w:val="690048C8"/>
    <w:rsid w:val="71C43E10"/>
    <w:rsid w:val="7B9D19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6DE"/>
    <w:pPr>
      <w:widowControl w:val="0"/>
      <w:jc w:val="both"/>
    </w:pPr>
    <w:rPr>
      <w:kern w:val="2"/>
      <w:sz w:val="21"/>
      <w:szCs w:val="24"/>
    </w:rPr>
  </w:style>
  <w:style w:type="paragraph" w:styleId="1">
    <w:name w:val="heading 1"/>
    <w:basedOn w:val="a"/>
    <w:next w:val="a"/>
    <w:link w:val="1Char"/>
    <w:qFormat/>
    <w:rsid w:val="009872AD"/>
    <w:pPr>
      <w:keepNext/>
      <w:keepLines/>
      <w:spacing w:before="340" w:after="330" w:line="576" w:lineRule="auto"/>
      <w:outlineLvl w:val="0"/>
    </w:pPr>
    <w:rPr>
      <w:b/>
      <w:color w:val="000000"/>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6DE"/>
  </w:style>
  <w:style w:type="character" w:customStyle="1" w:styleId="Char">
    <w:name w:val="批注文字 Char"/>
    <w:link w:val="a4"/>
    <w:rsid w:val="003456DE"/>
    <w:rPr>
      <w:kern w:val="2"/>
      <w:sz w:val="21"/>
      <w:szCs w:val="24"/>
    </w:rPr>
  </w:style>
  <w:style w:type="character" w:customStyle="1" w:styleId="Char1">
    <w:name w:val="批注文字 Char1"/>
    <w:rsid w:val="003456DE"/>
    <w:rPr>
      <w:rFonts w:ascii="Verdana" w:eastAsia="仿宋_GB2312" w:hAnsi="Verdana"/>
      <w:kern w:val="2"/>
      <w:sz w:val="21"/>
      <w:szCs w:val="24"/>
      <w:lang w:eastAsia="en-US"/>
    </w:rPr>
  </w:style>
  <w:style w:type="paragraph" w:styleId="a4">
    <w:name w:val="annotation text"/>
    <w:basedOn w:val="a"/>
    <w:link w:val="Char"/>
    <w:rsid w:val="003456DE"/>
    <w:pPr>
      <w:jc w:val="left"/>
    </w:pPr>
  </w:style>
  <w:style w:type="paragraph" w:styleId="a5">
    <w:name w:val="footer"/>
    <w:basedOn w:val="a"/>
    <w:rsid w:val="003456DE"/>
    <w:pPr>
      <w:tabs>
        <w:tab w:val="center" w:pos="4153"/>
        <w:tab w:val="right" w:pos="8306"/>
      </w:tabs>
      <w:snapToGrid w:val="0"/>
      <w:jc w:val="left"/>
    </w:pPr>
    <w:rPr>
      <w:sz w:val="18"/>
      <w:szCs w:val="18"/>
    </w:rPr>
  </w:style>
  <w:style w:type="paragraph" w:styleId="a6">
    <w:name w:val="Normal (Web)"/>
    <w:basedOn w:val="a"/>
    <w:rsid w:val="003456DE"/>
    <w:pPr>
      <w:widowControl/>
      <w:spacing w:before="100" w:beforeAutospacing="1" w:after="100" w:afterAutospacing="1"/>
      <w:jc w:val="left"/>
    </w:pPr>
    <w:rPr>
      <w:rFonts w:ascii="宋体" w:hAnsi="宋体" w:cs="宋体"/>
      <w:kern w:val="0"/>
      <w:sz w:val="24"/>
    </w:rPr>
  </w:style>
  <w:style w:type="paragraph" w:styleId="a7">
    <w:name w:val="header"/>
    <w:basedOn w:val="a"/>
    <w:rsid w:val="003456DE"/>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3456DE"/>
    <w:rPr>
      <w:sz w:val="18"/>
      <w:szCs w:val="18"/>
    </w:rPr>
  </w:style>
  <w:style w:type="paragraph" w:customStyle="1" w:styleId="c">
    <w:name w:val="c正文"/>
    <w:rsid w:val="003456DE"/>
    <w:pPr>
      <w:tabs>
        <w:tab w:val="left" w:pos="1800"/>
        <w:tab w:val="right" w:leader="middleDot" w:pos="8100"/>
      </w:tabs>
      <w:spacing w:line="360" w:lineRule="auto"/>
      <w:ind w:firstLineChars="200" w:firstLine="200"/>
      <w:jc w:val="both"/>
    </w:pPr>
    <w:rPr>
      <w:rFonts w:ascii="仿宋_GB2312" w:eastAsia="仿宋_GB2312" w:hAnsi="宋体"/>
      <w:kern w:val="2"/>
      <w:sz w:val="28"/>
    </w:rPr>
  </w:style>
  <w:style w:type="paragraph" w:customStyle="1" w:styleId="a9">
    <w:name w:val="正文方正仿宋"/>
    <w:basedOn w:val="a"/>
    <w:rsid w:val="003456DE"/>
    <w:pPr>
      <w:spacing w:line="560" w:lineRule="exact"/>
      <w:ind w:firstLineChars="200" w:firstLine="200"/>
    </w:pPr>
    <w:rPr>
      <w:rFonts w:ascii="方正仿宋简体" w:eastAsia="方正仿宋简体" w:hAnsi="方正仿宋简体"/>
      <w:b/>
      <w:bCs/>
      <w:color w:val="000000"/>
      <w:sz w:val="32"/>
      <w:szCs w:val="32"/>
    </w:rPr>
  </w:style>
  <w:style w:type="paragraph" w:customStyle="1" w:styleId="CharChar">
    <w:name w:val="Char Char"/>
    <w:basedOn w:val="a"/>
    <w:rsid w:val="003456DE"/>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rsid w:val="003456DE"/>
    <w:rPr>
      <w:szCs w:val="21"/>
    </w:rPr>
  </w:style>
  <w:style w:type="table" w:styleId="aa">
    <w:name w:val="Table Grid"/>
    <w:basedOn w:val="a1"/>
    <w:rsid w:val="003456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9872AD"/>
    <w:rPr>
      <w:b/>
      <w:color w:val="000000"/>
      <w:sz w:val="44"/>
      <w:szCs w:val="4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263</Words>
  <Characters>1504</Characters>
  <Application>Microsoft Office Word</Application>
  <DocSecurity>0</DocSecurity>
  <PresentationFormat/>
  <Lines>12</Lines>
  <Paragraphs>3</Paragraphs>
  <Slides>0</Slides>
  <Notes>0</Notes>
  <HiddenSlides>0</HiddenSlides>
  <MMClips>0</MMClips>
  <ScaleCrop>false</ScaleCrop>
  <Company>微软中国</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抓素养 重技能 全面提高人才培养质量</dc:title>
  <dc:creator>微软用户</dc:creator>
  <cp:lastModifiedBy>user</cp:lastModifiedBy>
  <cp:revision>3</cp:revision>
  <cp:lastPrinted>2017-01-24T01:38:00Z</cp:lastPrinted>
  <dcterms:created xsi:type="dcterms:W3CDTF">2017-09-27T02:26:00Z</dcterms:created>
  <dcterms:modified xsi:type="dcterms:W3CDTF">2017-09-27T02:37:00Z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